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附件5：</w:t>
      </w:r>
    </w:p>
    <w:p>
      <w:pPr>
        <w:spacing w:line="578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ind w:firstLine="0" w:firstLineChars="0"/>
        <w:jc w:val="center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0"/>
          <w:szCs w:val="40"/>
        </w:rPr>
        <w:t>鄂州市城市发展投资控股集团有限公司</w:t>
      </w:r>
    </w:p>
    <w:bookmarkEnd w:id="0"/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鄂州市城市发展投资控股集团有限公司（前身是鄂州市城市建设投资有限公司）于2021年11月成立。以增强城市功能、拓展城市服务、加强城市运营、提高投融资能力为方向，以市场化运作为主要方式,深入探索城市开发“投、融、建、管、运”一体化模式，积极承担城市建设、产业发展、乡村振兴等方面重大任务,成为城市重大投资项目建设运营平台、城市资源运营平台、民生服务平台、资本运营平台、城市产业投资服务平台。城控集团主要设置城市开发、城市建设、城市运营、资本运营四大业务板块,并积极拓展新型城镇化建设、产业园区开发等业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注册资本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10亿元，总资产450亿元。</w:t>
      </w:r>
    </w:p>
    <w:p>
      <w:pPr>
        <w:spacing w:line="600" w:lineRule="exact"/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color w:val="auto"/>
          <w:sz w:val="40"/>
          <w:szCs w:val="40"/>
        </w:rPr>
      </w:pPr>
    </w:p>
    <w:p>
      <w:pPr>
        <w:spacing w:line="600" w:lineRule="exact"/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color w:val="auto"/>
          <w:sz w:val="40"/>
          <w:szCs w:val="40"/>
        </w:rPr>
      </w:pPr>
    </w:p>
    <w:p>
      <w:pPr>
        <w:spacing w:line="600" w:lineRule="exact"/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color w:val="auto"/>
          <w:sz w:val="40"/>
          <w:szCs w:val="40"/>
        </w:rPr>
      </w:pPr>
    </w:p>
    <w:p>
      <w:pPr>
        <w:spacing w:line="600" w:lineRule="exact"/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color w:val="auto"/>
          <w:sz w:val="40"/>
          <w:szCs w:val="40"/>
        </w:rPr>
      </w:pPr>
    </w:p>
    <w:p>
      <w:pPr>
        <w:spacing w:line="600" w:lineRule="exact"/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color w:val="auto"/>
          <w:sz w:val="40"/>
          <w:szCs w:val="40"/>
        </w:rPr>
      </w:pPr>
    </w:p>
    <w:p>
      <w:pPr>
        <w:spacing w:line="600" w:lineRule="exact"/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color w:val="auto"/>
          <w:sz w:val="40"/>
          <w:szCs w:val="40"/>
        </w:rPr>
      </w:pPr>
    </w:p>
    <w:p>
      <w:pPr>
        <w:spacing w:line="600" w:lineRule="exact"/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color w:val="auto"/>
          <w:sz w:val="40"/>
          <w:szCs w:val="40"/>
        </w:rPr>
      </w:pPr>
    </w:p>
    <w:p>
      <w:pPr>
        <w:spacing w:line="600" w:lineRule="exact"/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color w:val="auto"/>
          <w:sz w:val="40"/>
          <w:szCs w:val="40"/>
        </w:rPr>
      </w:pPr>
    </w:p>
    <w:p>
      <w:pPr>
        <w:spacing w:line="600" w:lineRule="exact"/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color w:val="auto"/>
          <w:sz w:val="40"/>
          <w:szCs w:val="40"/>
        </w:rPr>
      </w:pPr>
    </w:p>
    <w:p>
      <w:pPr>
        <w:spacing w:line="600" w:lineRule="exact"/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color w:val="auto"/>
          <w:sz w:val="40"/>
          <w:szCs w:val="40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0"/>
          <w:szCs w:val="40"/>
        </w:rPr>
        <w:t>鄂州市昌达投资控股集团有限公司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鄂州市昌达投资控股集团有限公司(前身是鄂州市昌达投资经营管理有限公司)于2021年1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成立，以打造经营乡村振兴与生态旅游平台、战略性新兴产业与生产性服务业投资平台、非银金融服务与资本运营平台、临空经济产业平台为方向，建立完善“募、投、管、退”机制。昌达集团主要经营乡村振兴、文旅产业、战略性新兴产业、现代服务业等产业投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农业开发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资源性国有资产经营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非证券业务类股权投资及投资咨询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建设用砂石料开采、加工、销售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矿山和水生态修复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水产养殖、捕捞、加工、销售等业务。注册资本金30亿元，总资产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B5A89"/>
    <w:rsid w:val="2A6B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semiHidden/>
    <w:uiPriority w:val="0"/>
    <w:pPr>
      <w:ind w:firstLine="420" w:firstLineChars="200"/>
    </w:pPr>
    <w:rPr>
      <w:rFonts w:ascii="仿宋_GB2312" w:hAnsi="仿宋_GB2312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2023-08-16T09:36:00Z</dcterms:created>
  <dc:creator>HUAWEI</dc:creator>
  <cp:lastModifiedBy>HUAWEI</cp:lastModifiedBy>
  <dcterms:modified xsi:type="dcterms:W3CDTF">2023-08-16T09:38:09Z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